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362B8" w14:textId="77777777" w:rsidR="008F74B1" w:rsidRDefault="008F74B1" w:rsidP="008F74B1">
      <w:pPr>
        <w:rPr>
          <w:rFonts w:ascii="黑体" w:eastAsia="黑体" w:hAnsi="仿宋"/>
          <w:sz w:val="32"/>
          <w:szCs w:val="30"/>
        </w:rPr>
      </w:pPr>
      <w:r>
        <w:rPr>
          <w:rFonts w:ascii="黑体" w:eastAsia="黑体" w:hAnsi="仿宋" w:hint="eastAsia"/>
          <w:sz w:val="32"/>
          <w:szCs w:val="30"/>
        </w:rPr>
        <w:t>附件</w:t>
      </w:r>
      <w:r>
        <w:rPr>
          <w:rFonts w:ascii="黑体" w:eastAsia="黑体" w:hAnsi="仿宋"/>
          <w:sz w:val="32"/>
          <w:szCs w:val="30"/>
        </w:rPr>
        <w:t>2</w:t>
      </w:r>
    </w:p>
    <w:p w14:paraId="09DF2901" w14:textId="77777777" w:rsidR="008F74B1" w:rsidRDefault="008F74B1" w:rsidP="008F74B1">
      <w:pPr>
        <w:adjustRightInd w:val="0"/>
        <w:snapToGrid w:val="0"/>
        <w:spacing w:beforeLines="100" w:before="240" w:afterLines="100" w:after="240" w:line="540" w:lineRule="exact"/>
        <w:jc w:val="center"/>
        <w:rPr>
          <w:rFonts w:ascii="宋体" w:hAnsi="宋体"/>
          <w:b/>
          <w:sz w:val="36"/>
          <w:szCs w:val="36"/>
        </w:rPr>
      </w:pPr>
      <w:bookmarkStart w:id="0" w:name="_Hlk6919931"/>
      <w:r>
        <w:rPr>
          <w:rFonts w:ascii="宋体" w:hAnsi="宋体" w:hint="eastAsia"/>
          <w:b/>
          <w:sz w:val="36"/>
          <w:szCs w:val="36"/>
        </w:rPr>
        <w:t>活动选题背景与调研要求</w:t>
      </w:r>
      <w:bookmarkEnd w:id="0"/>
    </w:p>
    <w:p w14:paraId="5134BE17" w14:textId="77777777" w:rsidR="008F74B1" w:rsidRDefault="008F74B1" w:rsidP="008F74B1">
      <w:pPr>
        <w:pStyle w:val="2"/>
        <w:spacing w:beforeLines="50" w:before="120" w:afterLines="50" w:after="120" w:line="240" w:lineRule="auto"/>
        <w:ind w:left="0"/>
      </w:pPr>
      <w:r>
        <w:rPr>
          <w:rFonts w:hint="eastAsia"/>
        </w:rPr>
        <w:t>相关背景</w:t>
      </w:r>
    </w:p>
    <w:p w14:paraId="6F6D5111" w14:textId="77777777" w:rsidR="008F74B1" w:rsidRDefault="008F74B1" w:rsidP="008F74B1">
      <w:pPr>
        <w:adjustRightInd w:val="0"/>
        <w:snapToGrid w:val="0"/>
        <w:spacing w:line="600" w:lineRule="exact"/>
        <w:ind w:firstLineChars="200" w:firstLine="600"/>
        <w:jc w:val="both"/>
        <w:rPr>
          <w:rFonts w:ascii="仿宋" w:eastAsia="仿宋" w:hAnsi="仿宋"/>
          <w:sz w:val="30"/>
          <w:szCs w:val="30"/>
        </w:rPr>
      </w:pPr>
      <w:r>
        <w:rPr>
          <w:rFonts w:ascii="仿宋" w:eastAsia="仿宋" w:hAnsi="仿宋" w:hint="eastAsia"/>
          <w:sz w:val="30"/>
          <w:szCs w:val="30"/>
        </w:rPr>
        <w:t>本届西部之光大学生暑期规划设计交流活动的基地选址广州南海神庙及周边片区。南海神庙及码头遗址是联合国教科文组织确认的海上丝绸之路发祥地，也是中国古代海神信仰发展及广州黄埔港历史变迁的代表性例证。改革开放以后，广州黄埔区承担了由中心城区疏解外溢的化工、钢铁等功能，随着黄埔港扩建，在滨水地区进一步增加了仓储物流功能和集装箱码头等设施。目前基地范围</w:t>
      </w:r>
      <w:proofErr w:type="gramStart"/>
      <w:r>
        <w:rPr>
          <w:rFonts w:ascii="仿宋" w:eastAsia="仿宋" w:hAnsi="仿宋" w:hint="eastAsia"/>
          <w:sz w:val="30"/>
          <w:szCs w:val="30"/>
        </w:rPr>
        <w:t>内呈城村</w:t>
      </w:r>
      <w:proofErr w:type="gramEnd"/>
      <w:r>
        <w:rPr>
          <w:rFonts w:ascii="仿宋" w:eastAsia="仿宋" w:hAnsi="仿宋" w:hint="eastAsia"/>
          <w:sz w:val="30"/>
          <w:szCs w:val="30"/>
        </w:rPr>
        <w:t>交织的状态，主要以工业用地、物流仓储用地、文化展览用地和村庄建设用地为主。在上层次规划中，基地位处广州黄埔区临港经济区板块，紧邻穗港智</w:t>
      </w:r>
      <w:proofErr w:type="gramStart"/>
      <w:r>
        <w:rPr>
          <w:rFonts w:ascii="仿宋" w:eastAsia="仿宋" w:hAnsi="仿宋" w:hint="eastAsia"/>
          <w:sz w:val="30"/>
          <w:szCs w:val="30"/>
        </w:rPr>
        <w:t>造合作</w:t>
      </w:r>
      <w:proofErr w:type="gramEnd"/>
      <w:r>
        <w:rPr>
          <w:rFonts w:ascii="仿宋" w:eastAsia="仿宋" w:hAnsi="仿宋" w:hint="eastAsia"/>
          <w:sz w:val="30"/>
          <w:szCs w:val="30"/>
        </w:rPr>
        <w:t>区和人工智能与数字经济试验区，是广州向东融湾发展的重要节点。活动以期通过规划释放黄埔港片区多个重要载体的综合效能，更好发挥广州在</w:t>
      </w:r>
      <w:proofErr w:type="gramStart"/>
      <w:r>
        <w:rPr>
          <w:rFonts w:ascii="仿宋" w:eastAsia="仿宋" w:hAnsi="仿宋" w:hint="eastAsia"/>
          <w:sz w:val="30"/>
          <w:szCs w:val="30"/>
        </w:rPr>
        <w:t>世界级湾区</w:t>
      </w:r>
      <w:proofErr w:type="gramEnd"/>
      <w:r>
        <w:rPr>
          <w:rFonts w:ascii="仿宋" w:eastAsia="仿宋" w:hAnsi="仿宋" w:hint="eastAsia"/>
          <w:sz w:val="30"/>
          <w:szCs w:val="30"/>
        </w:rPr>
        <w:t>建设中的枢纽作用。作为海丝城关键节点，基地将迎来更新改造、</w:t>
      </w:r>
      <w:proofErr w:type="gramStart"/>
      <w:r>
        <w:rPr>
          <w:rFonts w:ascii="仿宋" w:eastAsia="仿宋" w:hAnsi="仿宋" w:hint="eastAsia"/>
          <w:sz w:val="30"/>
          <w:szCs w:val="30"/>
        </w:rPr>
        <w:t>升级蝶变的</w:t>
      </w:r>
      <w:proofErr w:type="gramEnd"/>
      <w:r>
        <w:rPr>
          <w:rFonts w:ascii="仿宋" w:eastAsia="仿宋" w:hAnsi="仿宋" w:hint="eastAsia"/>
          <w:sz w:val="30"/>
          <w:szCs w:val="30"/>
        </w:rPr>
        <w:t>机遇，未来有望成为世界海丝文化交流的重要舞台，岭南</w:t>
      </w:r>
      <w:proofErr w:type="gramStart"/>
      <w:r>
        <w:rPr>
          <w:rFonts w:ascii="仿宋" w:eastAsia="仿宋" w:hAnsi="仿宋" w:hint="eastAsia"/>
          <w:sz w:val="30"/>
          <w:szCs w:val="30"/>
        </w:rPr>
        <w:t>千年信俗文化</w:t>
      </w:r>
      <w:proofErr w:type="gramEnd"/>
      <w:r>
        <w:rPr>
          <w:rFonts w:ascii="仿宋" w:eastAsia="仿宋" w:hAnsi="仿宋" w:hint="eastAsia"/>
          <w:sz w:val="30"/>
          <w:szCs w:val="30"/>
        </w:rPr>
        <w:t>的创新展示带。</w:t>
      </w:r>
    </w:p>
    <w:p w14:paraId="4FCBFBC6" w14:textId="77777777" w:rsidR="008F74B1" w:rsidRDefault="008F74B1" w:rsidP="008F74B1">
      <w:pPr>
        <w:jc w:val="center"/>
        <w:rPr>
          <w:b/>
        </w:rPr>
      </w:pPr>
    </w:p>
    <w:p w14:paraId="5F86CBD8" w14:textId="77777777" w:rsidR="008F74B1" w:rsidRDefault="008F74B1" w:rsidP="008F74B1">
      <w:pPr>
        <w:pStyle w:val="2"/>
        <w:spacing w:beforeLines="50" w:before="120" w:afterLines="50" w:after="120" w:line="240" w:lineRule="auto"/>
        <w:ind w:left="0"/>
      </w:pPr>
      <w:r>
        <w:rPr>
          <w:rFonts w:hint="eastAsia"/>
        </w:rPr>
        <w:t>基地解析与设计</w:t>
      </w:r>
      <w:r>
        <w:t>立意</w:t>
      </w:r>
    </w:p>
    <w:p w14:paraId="51471368" w14:textId="77777777" w:rsidR="008F74B1" w:rsidRDefault="008F74B1" w:rsidP="008F74B1">
      <w:pPr>
        <w:adjustRightInd w:val="0"/>
        <w:snapToGrid w:val="0"/>
        <w:spacing w:line="600" w:lineRule="exact"/>
        <w:ind w:firstLineChars="200" w:firstLine="600"/>
        <w:jc w:val="both"/>
        <w:rPr>
          <w:rFonts w:ascii="仿宋" w:eastAsia="仿宋" w:hAnsi="仿宋"/>
          <w:sz w:val="30"/>
          <w:szCs w:val="30"/>
        </w:rPr>
      </w:pPr>
      <w:r>
        <w:rPr>
          <w:rFonts w:ascii="仿宋" w:eastAsia="仿宋" w:hAnsi="仿宋" w:hint="eastAsia"/>
          <w:sz w:val="30"/>
          <w:szCs w:val="30"/>
        </w:rPr>
        <w:t>本届西部之光大学生暑期规划设计交流活动的立意包括但不限于：</w:t>
      </w:r>
    </w:p>
    <w:p w14:paraId="2EC052E0" w14:textId="77777777" w:rsidR="008F74B1" w:rsidRDefault="008F74B1" w:rsidP="008F74B1">
      <w:pPr>
        <w:numPr>
          <w:ilvl w:val="0"/>
          <w:numId w:val="2"/>
        </w:numPr>
        <w:adjustRightInd w:val="0"/>
        <w:snapToGrid w:val="0"/>
        <w:spacing w:line="600" w:lineRule="exact"/>
        <w:ind w:firstLineChars="200" w:firstLine="602"/>
        <w:jc w:val="both"/>
        <w:rPr>
          <w:rFonts w:ascii="仿宋" w:eastAsia="仿宋" w:hAnsi="仿宋"/>
          <w:sz w:val="30"/>
          <w:szCs w:val="30"/>
        </w:rPr>
      </w:pPr>
      <w:r>
        <w:rPr>
          <w:rFonts w:ascii="仿宋" w:eastAsia="仿宋" w:hAnsi="仿宋" w:hint="eastAsia"/>
          <w:b/>
          <w:bCs/>
          <w:sz w:val="30"/>
          <w:szCs w:val="30"/>
        </w:rPr>
        <w:t>面向产业升级转型，塑造新时代海丝文化的空间载体。</w:t>
      </w:r>
      <w:r>
        <w:rPr>
          <w:rFonts w:ascii="仿宋" w:eastAsia="仿宋" w:hAnsi="仿宋" w:hint="eastAsia"/>
          <w:sz w:val="30"/>
          <w:szCs w:val="30"/>
        </w:rPr>
        <w:t>《广州面向2049的城市发展战略规划》提出以向南、向东融湾发展为总体方向，其中东部中心要挺起城市产业脊梁，推动重大</w:t>
      </w:r>
      <w:r>
        <w:rPr>
          <w:rFonts w:ascii="仿宋" w:eastAsia="仿宋" w:hAnsi="仿宋" w:hint="eastAsia"/>
          <w:sz w:val="30"/>
          <w:szCs w:val="30"/>
        </w:rPr>
        <w:lastRenderedPageBreak/>
        <w:t>产业平台优化提升，加速形成现代产业体系核心集聚地。海丝城是东</w:t>
      </w:r>
      <w:proofErr w:type="gramStart"/>
      <w:r>
        <w:rPr>
          <w:rFonts w:ascii="仿宋" w:eastAsia="仿宋" w:hAnsi="仿宋" w:hint="eastAsia"/>
          <w:sz w:val="30"/>
          <w:szCs w:val="30"/>
        </w:rPr>
        <w:t>进重要</w:t>
      </w:r>
      <w:proofErr w:type="gramEnd"/>
      <w:r>
        <w:rPr>
          <w:rFonts w:ascii="仿宋" w:eastAsia="仿宋" w:hAnsi="仿宋" w:hint="eastAsia"/>
          <w:sz w:val="30"/>
          <w:szCs w:val="30"/>
        </w:rPr>
        <w:t>节点，包括黄埔中心和开发区西区两大组团，其中基地所在的黄埔中心组团重点发展数字经济、</w:t>
      </w:r>
      <w:proofErr w:type="gramStart"/>
      <w:r>
        <w:rPr>
          <w:rFonts w:ascii="仿宋" w:eastAsia="仿宋" w:hAnsi="仿宋" w:hint="eastAsia"/>
          <w:sz w:val="30"/>
          <w:szCs w:val="30"/>
        </w:rPr>
        <w:t>科创服务</w:t>
      </w:r>
      <w:proofErr w:type="gramEnd"/>
      <w:r>
        <w:rPr>
          <w:rFonts w:ascii="仿宋" w:eastAsia="仿宋" w:hAnsi="仿宋" w:hint="eastAsia"/>
          <w:sz w:val="30"/>
          <w:szCs w:val="30"/>
        </w:rPr>
        <w:t>、现代航运，面向未来科技产业变革与大事件需求，有序推动更新转型、岸线腾退，重点强化创新资源集聚，引入智造企业总部、科技公司总部等创新型企业总部，形成创新总部集群。建议分析基地及周边片区从传统港口和工业基地向创新产业发展的潜力和机遇，重塑空间秩序、重构产业体系，从产业功能、空间品质、</w:t>
      </w:r>
      <w:proofErr w:type="gramStart"/>
      <w:r>
        <w:rPr>
          <w:rFonts w:ascii="仿宋" w:eastAsia="仿宋" w:hAnsi="仿宋" w:hint="eastAsia"/>
          <w:sz w:val="30"/>
          <w:szCs w:val="30"/>
        </w:rPr>
        <w:t>海丝品牌</w:t>
      </w:r>
      <w:proofErr w:type="gramEnd"/>
      <w:r>
        <w:rPr>
          <w:rFonts w:ascii="仿宋" w:eastAsia="仿宋" w:hAnsi="仿宋" w:hint="eastAsia"/>
          <w:sz w:val="30"/>
          <w:szCs w:val="30"/>
        </w:rPr>
        <w:t>、</w:t>
      </w:r>
      <w:proofErr w:type="gramStart"/>
      <w:r>
        <w:rPr>
          <w:rFonts w:ascii="仿宋" w:eastAsia="仿宋" w:hAnsi="仿宋" w:hint="eastAsia"/>
          <w:sz w:val="30"/>
          <w:szCs w:val="30"/>
        </w:rPr>
        <w:t>绿美生态</w:t>
      </w:r>
      <w:proofErr w:type="gramEnd"/>
      <w:r>
        <w:rPr>
          <w:rFonts w:ascii="仿宋" w:eastAsia="仿宋" w:hAnsi="仿宋" w:hint="eastAsia"/>
          <w:sz w:val="30"/>
          <w:szCs w:val="30"/>
        </w:rPr>
        <w:t>与制度创新等多方面出发，研究推动产业迭代升级和城市复兴的政策与设计策略，助力基地成为海丝城上的璀璨明珠。</w:t>
      </w:r>
    </w:p>
    <w:p w14:paraId="233829E7" w14:textId="77777777" w:rsidR="008F74B1" w:rsidRDefault="008F74B1" w:rsidP="008F74B1">
      <w:pPr>
        <w:numPr>
          <w:ilvl w:val="0"/>
          <w:numId w:val="2"/>
        </w:numPr>
        <w:adjustRightInd w:val="0"/>
        <w:snapToGrid w:val="0"/>
        <w:spacing w:line="600" w:lineRule="exact"/>
        <w:ind w:firstLineChars="200" w:firstLine="602"/>
        <w:jc w:val="both"/>
        <w:rPr>
          <w:rFonts w:ascii="仿宋" w:eastAsia="仿宋" w:hAnsi="仿宋"/>
          <w:sz w:val="30"/>
          <w:szCs w:val="30"/>
        </w:rPr>
      </w:pPr>
      <w:r>
        <w:rPr>
          <w:rFonts w:ascii="仿宋" w:eastAsia="仿宋" w:hAnsi="仿宋" w:hint="eastAsia"/>
          <w:b/>
          <w:bCs/>
          <w:sz w:val="30"/>
          <w:szCs w:val="30"/>
        </w:rPr>
        <w:t>挖掘以南海神庙为代表的海上丝绸之路历史文化资源，协调保护传承与开发利用关系。</w:t>
      </w:r>
      <w:r>
        <w:rPr>
          <w:rFonts w:ascii="仿宋" w:eastAsia="仿宋" w:hAnsi="仿宋" w:hint="eastAsia"/>
          <w:sz w:val="30"/>
          <w:szCs w:val="30"/>
        </w:rPr>
        <w:t>基地内扶</w:t>
      </w:r>
      <w:proofErr w:type="gramStart"/>
      <w:r>
        <w:rPr>
          <w:rFonts w:ascii="仿宋" w:eastAsia="仿宋" w:hAnsi="仿宋" w:hint="eastAsia"/>
          <w:sz w:val="30"/>
          <w:szCs w:val="30"/>
        </w:rPr>
        <w:t>胥</w:t>
      </w:r>
      <w:proofErr w:type="gramEnd"/>
      <w:r>
        <w:rPr>
          <w:rFonts w:ascii="仿宋" w:eastAsia="仿宋" w:hAnsi="仿宋" w:hint="eastAsia"/>
          <w:sz w:val="30"/>
          <w:szCs w:val="30"/>
        </w:rPr>
        <w:t>古港自</w:t>
      </w:r>
      <w:proofErr w:type="gramStart"/>
      <w:r>
        <w:rPr>
          <w:rFonts w:ascii="仿宋" w:eastAsia="仿宋" w:hAnsi="仿宋" w:hint="eastAsia"/>
          <w:sz w:val="30"/>
          <w:szCs w:val="30"/>
        </w:rPr>
        <w:t>西晋起</w:t>
      </w:r>
      <w:proofErr w:type="gramEnd"/>
      <w:r>
        <w:rPr>
          <w:rFonts w:ascii="仿宋" w:eastAsia="仿宋" w:hAnsi="仿宋" w:hint="eastAsia"/>
          <w:sz w:val="30"/>
          <w:szCs w:val="30"/>
        </w:rPr>
        <w:t>就是人们出洋启航的起点。进入魏晋南北朝，扶</w:t>
      </w:r>
      <w:proofErr w:type="gramStart"/>
      <w:r>
        <w:rPr>
          <w:rFonts w:ascii="仿宋" w:eastAsia="仿宋" w:hAnsi="仿宋" w:hint="eastAsia"/>
          <w:sz w:val="30"/>
          <w:szCs w:val="30"/>
        </w:rPr>
        <w:t>胥</w:t>
      </w:r>
      <w:proofErr w:type="gramEnd"/>
      <w:r>
        <w:rPr>
          <w:rFonts w:ascii="仿宋" w:eastAsia="仿宋" w:hAnsi="仿宋" w:hint="eastAsia"/>
          <w:sz w:val="30"/>
          <w:szCs w:val="30"/>
        </w:rPr>
        <w:t>港作为外国船只到达广州的第一站，已是“舟</w:t>
      </w:r>
      <w:proofErr w:type="gramStart"/>
      <w:r>
        <w:rPr>
          <w:rFonts w:ascii="仿宋" w:eastAsia="仿宋" w:hAnsi="仿宋" w:hint="eastAsia"/>
          <w:sz w:val="30"/>
          <w:szCs w:val="30"/>
        </w:rPr>
        <w:t>舶</w:t>
      </w:r>
      <w:proofErr w:type="gramEnd"/>
      <w:r>
        <w:rPr>
          <w:rFonts w:ascii="仿宋" w:eastAsia="仿宋" w:hAnsi="仿宋" w:hint="eastAsia"/>
          <w:sz w:val="30"/>
          <w:szCs w:val="30"/>
        </w:rPr>
        <w:t>继路，商使交属”。唐代“安史之乱”后，陆上丝绸之路被阻断并逐渐衰落，海上丝绸之路遂成为各国商人汇聚之地。自此，广州成为中国第一大港，以扶</w:t>
      </w:r>
      <w:proofErr w:type="gramStart"/>
      <w:r>
        <w:rPr>
          <w:rFonts w:ascii="仿宋" w:eastAsia="仿宋" w:hAnsi="仿宋" w:hint="eastAsia"/>
          <w:sz w:val="30"/>
          <w:szCs w:val="30"/>
        </w:rPr>
        <w:t>胥</w:t>
      </w:r>
      <w:proofErr w:type="gramEnd"/>
      <w:r>
        <w:rPr>
          <w:rFonts w:ascii="仿宋" w:eastAsia="仿宋" w:hAnsi="仿宋" w:hint="eastAsia"/>
          <w:sz w:val="30"/>
          <w:szCs w:val="30"/>
        </w:rPr>
        <w:t>港为起点的“广州通海夷道”成为世界上最长的远洋航线。南海神庙因港而建，始建于隋开皇十四年（594年），已有一千四百多年历史，是我国最大、保存最完整的海神庙。南海神庙以东的庙头村古为扶</w:t>
      </w:r>
      <w:proofErr w:type="gramStart"/>
      <w:r>
        <w:rPr>
          <w:rFonts w:ascii="仿宋" w:eastAsia="仿宋" w:hAnsi="仿宋" w:hint="eastAsia"/>
          <w:sz w:val="30"/>
          <w:szCs w:val="30"/>
        </w:rPr>
        <w:t>胥</w:t>
      </w:r>
      <w:proofErr w:type="gramEnd"/>
      <w:r>
        <w:rPr>
          <w:rFonts w:ascii="仿宋" w:eastAsia="仿宋" w:hAnsi="仿宋" w:hint="eastAsia"/>
          <w:sz w:val="30"/>
          <w:szCs w:val="30"/>
        </w:rPr>
        <w:t>镇，宋代开凿扶</w:t>
      </w:r>
      <w:proofErr w:type="gramStart"/>
      <w:r>
        <w:rPr>
          <w:rFonts w:ascii="仿宋" w:eastAsia="仿宋" w:hAnsi="仿宋" w:hint="eastAsia"/>
          <w:sz w:val="30"/>
          <w:szCs w:val="30"/>
        </w:rPr>
        <w:t>胥</w:t>
      </w:r>
      <w:proofErr w:type="gramEnd"/>
      <w:r>
        <w:rPr>
          <w:rFonts w:ascii="仿宋" w:eastAsia="仿宋" w:hAnsi="仿宋" w:hint="eastAsia"/>
          <w:sz w:val="30"/>
          <w:szCs w:val="30"/>
        </w:rPr>
        <w:t>古运河，扶</w:t>
      </w:r>
      <w:proofErr w:type="gramStart"/>
      <w:r>
        <w:rPr>
          <w:rFonts w:ascii="仿宋" w:eastAsia="仿宋" w:hAnsi="仿宋" w:hint="eastAsia"/>
          <w:sz w:val="30"/>
          <w:szCs w:val="30"/>
        </w:rPr>
        <w:t>胥</w:t>
      </w:r>
      <w:proofErr w:type="gramEnd"/>
      <w:r>
        <w:rPr>
          <w:rFonts w:ascii="仿宋" w:eastAsia="仿宋" w:hAnsi="仿宋" w:hint="eastAsia"/>
          <w:sz w:val="30"/>
          <w:szCs w:val="30"/>
        </w:rPr>
        <w:t>镇及周边各村成为当时商贸最繁盛地区。围绕南海神庙开展的民俗活动延续至今仍兴盛不衰，每年农历二月十一至十三，远近百姓都会来到南海神庙，为南海神庆生，大批海内外游客前来参观体验，“波罗诞”已经成为岭南地区最古老、</w:t>
      </w:r>
      <w:proofErr w:type="gramStart"/>
      <w:r>
        <w:rPr>
          <w:rFonts w:ascii="仿宋" w:eastAsia="仿宋" w:hAnsi="仿宋" w:hint="eastAsia"/>
          <w:sz w:val="30"/>
          <w:szCs w:val="30"/>
        </w:rPr>
        <w:t>最</w:t>
      </w:r>
      <w:proofErr w:type="gramEnd"/>
      <w:r>
        <w:rPr>
          <w:rFonts w:ascii="仿宋" w:eastAsia="仿宋" w:hAnsi="仿宋" w:hint="eastAsia"/>
          <w:sz w:val="30"/>
          <w:szCs w:val="30"/>
        </w:rPr>
        <w:t>盛大、最具影响力的民间庙会。建议深入研究</w:t>
      </w:r>
      <w:r>
        <w:rPr>
          <w:rFonts w:ascii="仿宋" w:eastAsia="仿宋" w:hAnsi="仿宋" w:hint="eastAsia"/>
          <w:sz w:val="30"/>
          <w:szCs w:val="30"/>
        </w:rPr>
        <w:lastRenderedPageBreak/>
        <w:t>扶</w:t>
      </w:r>
      <w:proofErr w:type="gramStart"/>
      <w:r>
        <w:rPr>
          <w:rFonts w:ascii="仿宋" w:eastAsia="仿宋" w:hAnsi="仿宋" w:hint="eastAsia"/>
          <w:sz w:val="30"/>
          <w:szCs w:val="30"/>
        </w:rPr>
        <w:t>胥</w:t>
      </w:r>
      <w:proofErr w:type="gramEnd"/>
      <w:r>
        <w:rPr>
          <w:rFonts w:ascii="仿宋" w:eastAsia="仿宋" w:hAnsi="仿宋" w:hint="eastAsia"/>
          <w:sz w:val="30"/>
          <w:szCs w:val="30"/>
        </w:rPr>
        <w:t>古港与南海神庙历史格局变化，梳理南海神庙与周边村落发展和城市发展的时空演化肌理，促进南海神庙片区历史文化遗产的保护传承与可持续开发利用。</w:t>
      </w:r>
    </w:p>
    <w:p w14:paraId="3CAC442E" w14:textId="77777777" w:rsidR="008F74B1" w:rsidRDefault="008F74B1" w:rsidP="008F74B1">
      <w:pPr>
        <w:numPr>
          <w:ilvl w:val="0"/>
          <w:numId w:val="2"/>
        </w:numPr>
        <w:adjustRightInd w:val="0"/>
        <w:snapToGrid w:val="0"/>
        <w:spacing w:line="600" w:lineRule="exact"/>
        <w:ind w:firstLineChars="200" w:firstLine="602"/>
        <w:jc w:val="both"/>
        <w:rPr>
          <w:rFonts w:ascii="仿宋" w:eastAsia="仿宋" w:hAnsi="仿宋"/>
          <w:sz w:val="30"/>
          <w:szCs w:val="30"/>
        </w:rPr>
      </w:pPr>
      <w:r>
        <w:rPr>
          <w:rFonts w:ascii="仿宋" w:eastAsia="仿宋" w:hAnsi="仿宋" w:hint="eastAsia"/>
          <w:b/>
          <w:bCs/>
          <w:sz w:val="30"/>
          <w:szCs w:val="30"/>
        </w:rPr>
        <w:t>梳理蓝绿体系，重塑城市滨水地区空间特色。</w:t>
      </w:r>
      <w:r>
        <w:rPr>
          <w:rFonts w:ascii="仿宋" w:eastAsia="仿宋" w:hAnsi="仿宋" w:hint="eastAsia"/>
          <w:sz w:val="30"/>
          <w:szCs w:val="30"/>
        </w:rPr>
        <w:t>基地南面依托珠江，北临龙头山，位处大尺度山江背景，基地内有涌、塘、湾、江等多种水域形态。长期的工业化发展使得滨江岸线几乎完全被产业功能占据，水域和绿地资源破碎化，未能整合形成系统性的开放空间。建议梳理基地及周边片区蓝</w:t>
      </w:r>
      <w:proofErr w:type="gramStart"/>
      <w:r>
        <w:rPr>
          <w:rFonts w:ascii="仿宋" w:eastAsia="仿宋" w:hAnsi="仿宋" w:hint="eastAsia"/>
          <w:sz w:val="30"/>
          <w:szCs w:val="30"/>
        </w:rPr>
        <w:t>绿空间</w:t>
      </w:r>
      <w:proofErr w:type="gramEnd"/>
      <w:r>
        <w:rPr>
          <w:rFonts w:ascii="仿宋" w:eastAsia="仿宋" w:hAnsi="仿宋" w:hint="eastAsia"/>
          <w:sz w:val="30"/>
          <w:szCs w:val="30"/>
        </w:rPr>
        <w:t>资源，赋予景观生态、休闲游憩功能，融入海丝城创新网络和生态网络，推动滨水空间品质提升。</w:t>
      </w:r>
    </w:p>
    <w:p w14:paraId="37C07A91" w14:textId="77777777" w:rsidR="008F74B1" w:rsidRDefault="008F74B1" w:rsidP="008F74B1">
      <w:pPr>
        <w:pStyle w:val="2"/>
        <w:spacing w:beforeLines="100" w:before="240" w:afterLines="50" w:after="120" w:line="240" w:lineRule="auto"/>
        <w:ind w:left="0"/>
      </w:pPr>
      <w:r>
        <w:t>基地范围</w:t>
      </w:r>
      <w:r>
        <w:rPr>
          <w:rFonts w:hint="eastAsia"/>
        </w:rPr>
        <w:t>与地块选择</w:t>
      </w:r>
    </w:p>
    <w:p w14:paraId="6E2AEF0E" w14:textId="77777777" w:rsidR="008F74B1" w:rsidRDefault="008F74B1" w:rsidP="008F74B1">
      <w:pPr>
        <w:adjustRightInd w:val="0"/>
        <w:snapToGrid w:val="0"/>
        <w:spacing w:line="600" w:lineRule="exact"/>
        <w:ind w:firstLineChars="200" w:firstLine="600"/>
        <w:jc w:val="both"/>
        <w:rPr>
          <w:rFonts w:ascii="仿宋" w:eastAsia="仿宋" w:hAnsi="仿宋"/>
          <w:sz w:val="30"/>
          <w:szCs w:val="30"/>
        </w:rPr>
      </w:pPr>
      <w:r>
        <w:rPr>
          <w:rFonts w:ascii="仿宋" w:eastAsia="仿宋" w:hAnsi="仿宋" w:hint="eastAsia"/>
          <w:sz w:val="30"/>
          <w:szCs w:val="30"/>
        </w:rPr>
        <w:t>本次竞赛总基地范围东临南湾社区，北至黄埔东路，西至广州绕城高速，南至珠江大蚝沙岛，总面积约1.9平方公里。全国重点保护文物单位南海神庙坐落其中，基地内建成环境包括南海神庙文化景区、庙头社区、广州海事博物馆、粤华电厂、钢铁公司。</w:t>
      </w:r>
    </w:p>
    <w:p w14:paraId="0021D8E3" w14:textId="77777777" w:rsidR="008F74B1" w:rsidRDefault="008F74B1" w:rsidP="008F74B1">
      <w:pPr>
        <w:widowControl w:val="0"/>
        <w:spacing w:line="360" w:lineRule="auto"/>
        <w:jc w:val="both"/>
      </w:pPr>
      <w:r>
        <w:rPr>
          <w:noProof/>
        </w:rPr>
        <w:drawing>
          <wp:inline distT="0" distB="0" distL="114300" distR="114300" wp14:anchorId="06697C43" wp14:editId="17D0D8F4">
            <wp:extent cx="5271770" cy="3136900"/>
            <wp:effectExtent l="0" t="0" r="1143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1770" cy="3136900"/>
                    </a:xfrm>
                    <a:prstGeom prst="rect">
                      <a:avLst/>
                    </a:prstGeom>
                    <a:noFill/>
                    <a:ln>
                      <a:noFill/>
                    </a:ln>
                  </pic:spPr>
                </pic:pic>
              </a:graphicData>
            </a:graphic>
          </wp:inline>
        </w:drawing>
      </w:r>
    </w:p>
    <w:p w14:paraId="2D8A260D" w14:textId="77777777" w:rsidR="008F74B1" w:rsidRDefault="008F74B1" w:rsidP="008F74B1">
      <w:pPr>
        <w:widowControl w:val="0"/>
        <w:spacing w:line="360" w:lineRule="auto"/>
        <w:jc w:val="center"/>
        <w:rPr>
          <w:b/>
          <w:bCs/>
        </w:rPr>
      </w:pPr>
      <w:r>
        <w:rPr>
          <w:rFonts w:hint="eastAsia"/>
          <w:b/>
          <w:bCs/>
        </w:rPr>
        <w:lastRenderedPageBreak/>
        <w:t>图</w:t>
      </w:r>
      <w:r>
        <w:rPr>
          <w:rFonts w:hint="eastAsia"/>
          <w:b/>
          <w:bCs/>
        </w:rPr>
        <w:t>1.</w:t>
      </w:r>
      <w:r>
        <w:rPr>
          <w:rFonts w:hint="eastAsia"/>
          <w:b/>
          <w:bCs/>
        </w:rPr>
        <w:t>基地区位</w:t>
      </w:r>
    </w:p>
    <w:p w14:paraId="27E2934C" w14:textId="77777777" w:rsidR="008F74B1" w:rsidRDefault="008F74B1" w:rsidP="008F74B1">
      <w:pPr>
        <w:adjustRightInd w:val="0"/>
        <w:snapToGrid w:val="0"/>
        <w:spacing w:line="600" w:lineRule="exact"/>
        <w:ind w:firstLineChars="200" w:firstLine="600"/>
        <w:jc w:val="both"/>
        <w:rPr>
          <w:rFonts w:ascii="仿宋" w:eastAsia="仿宋" w:hAnsi="仿宋"/>
          <w:sz w:val="30"/>
          <w:szCs w:val="30"/>
        </w:rPr>
      </w:pPr>
      <w:r>
        <w:rPr>
          <w:rFonts w:ascii="仿宋" w:eastAsia="仿宋" w:hAnsi="仿宋"/>
          <w:sz w:val="30"/>
          <w:szCs w:val="30"/>
        </w:rPr>
        <w:t>各参赛小组通过对基地及其周边地区进行整体调研和综合分析，从产业创新、</w:t>
      </w:r>
      <w:r>
        <w:rPr>
          <w:rFonts w:ascii="仿宋" w:eastAsia="仿宋" w:hAnsi="仿宋" w:hint="eastAsia"/>
          <w:sz w:val="30"/>
          <w:szCs w:val="30"/>
        </w:rPr>
        <w:t>历史文化</w:t>
      </w:r>
      <w:r>
        <w:rPr>
          <w:rFonts w:ascii="仿宋" w:eastAsia="仿宋" w:hAnsi="仿宋"/>
          <w:sz w:val="30"/>
          <w:szCs w:val="30"/>
        </w:rPr>
        <w:t>、</w:t>
      </w:r>
      <w:r>
        <w:rPr>
          <w:rFonts w:ascii="仿宋" w:eastAsia="仿宋" w:hAnsi="仿宋" w:hint="eastAsia"/>
          <w:sz w:val="30"/>
          <w:szCs w:val="30"/>
        </w:rPr>
        <w:t>工业遗产、社区更新、民俗活动、</w:t>
      </w:r>
      <w:r>
        <w:rPr>
          <w:rFonts w:ascii="仿宋" w:eastAsia="仿宋" w:hAnsi="仿宋"/>
          <w:sz w:val="30"/>
          <w:szCs w:val="30"/>
        </w:rPr>
        <w:t>交通组织等多视角优化空间格局，依据设计立意和功能定位，选择</w:t>
      </w:r>
      <w:r>
        <w:rPr>
          <w:rFonts w:ascii="仿宋" w:eastAsia="仿宋" w:hAnsi="仿宋" w:hint="eastAsia"/>
          <w:sz w:val="30"/>
          <w:szCs w:val="30"/>
        </w:rPr>
        <w:t>三</w:t>
      </w:r>
      <w:r>
        <w:rPr>
          <w:rFonts w:ascii="仿宋" w:eastAsia="仿宋" w:hAnsi="仿宋"/>
          <w:sz w:val="30"/>
          <w:szCs w:val="30"/>
        </w:rPr>
        <w:t>个重点地块之一（见下图），提出具体的发展目标，制定适宜的更新改造策略</w:t>
      </w:r>
      <w:r>
        <w:rPr>
          <w:rFonts w:ascii="仿宋" w:eastAsia="仿宋" w:hAnsi="仿宋" w:hint="eastAsia"/>
          <w:sz w:val="30"/>
          <w:szCs w:val="30"/>
        </w:rPr>
        <w:t>和</w:t>
      </w:r>
      <w:r>
        <w:rPr>
          <w:rFonts w:ascii="仿宋" w:eastAsia="仿宋" w:hAnsi="仿宋"/>
          <w:sz w:val="30"/>
          <w:szCs w:val="30"/>
        </w:rPr>
        <w:t>详细设计</w:t>
      </w:r>
      <w:r>
        <w:rPr>
          <w:rFonts w:ascii="仿宋" w:eastAsia="仿宋" w:hAnsi="仿宋" w:hint="eastAsia"/>
          <w:sz w:val="30"/>
          <w:szCs w:val="30"/>
        </w:rPr>
        <w:t>方案</w:t>
      </w:r>
      <w:r>
        <w:rPr>
          <w:rFonts w:ascii="仿宋" w:eastAsia="仿宋" w:hAnsi="仿宋"/>
          <w:sz w:val="30"/>
          <w:szCs w:val="30"/>
        </w:rPr>
        <w:t>。</w:t>
      </w:r>
    </w:p>
    <w:p w14:paraId="3A3992EA" w14:textId="77777777" w:rsidR="008F74B1" w:rsidRDefault="008F74B1" w:rsidP="008F74B1">
      <w:pPr>
        <w:widowControl w:val="0"/>
        <w:spacing w:line="360" w:lineRule="auto"/>
        <w:ind w:firstLineChars="200" w:firstLine="480"/>
        <w:jc w:val="both"/>
        <w:rPr>
          <w:szCs w:val="28"/>
        </w:rPr>
      </w:pPr>
    </w:p>
    <w:p w14:paraId="4DC5FFB6" w14:textId="77777777" w:rsidR="008F74B1" w:rsidRDefault="008F74B1" w:rsidP="008F74B1">
      <w:pPr>
        <w:widowControl w:val="0"/>
        <w:spacing w:line="360" w:lineRule="auto"/>
        <w:jc w:val="both"/>
      </w:pPr>
      <w:r>
        <w:rPr>
          <w:noProof/>
        </w:rPr>
        <w:drawing>
          <wp:inline distT="0" distB="0" distL="114300" distR="114300" wp14:anchorId="421FCE79" wp14:editId="5940DCE2">
            <wp:extent cx="5272405" cy="3154680"/>
            <wp:effectExtent l="0" t="0" r="1079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2405" cy="3154680"/>
                    </a:xfrm>
                    <a:prstGeom prst="rect">
                      <a:avLst/>
                    </a:prstGeom>
                    <a:noFill/>
                    <a:ln>
                      <a:noFill/>
                    </a:ln>
                  </pic:spPr>
                </pic:pic>
              </a:graphicData>
            </a:graphic>
          </wp:inline>
        </w:drawing>
      </w:r>
    </w:p>
    <w:p w14:paraId="3FEFC7C0" w14:textId="77777777" w:rsidR="008F74B1" w:rsidRDefault="008F74B1" w:rsidP="008F74B1">
      <w:pPr>
        <w:widowControl w:val="0"/>
        <w:spacing w:line="360" w:lineRule="auto"/>
        <w:jc w:val="center"/>
        <w:rPr>
          <w:rFonts w:eastAsiaTheme="minorEastAsia"/>
          <w:b/>
          <w:bCs/>
        </w:rPr>
      </w:pPr>
      <w:r>
        <w:rPr>
          <w:rFonts w:hint="eastAsia"/>
          <w:b/>
          <w:bCs/>
        </w:rPr>
        <w:t>图</w:t>
      </w:r>
      <w:r>
        <w:rPr>
          <w:rFonts w:hint="eastAsia"/>
          <w:b/>
          <w:bCs/>
        </w:rPr>
        <w:t xml:space="preserve">2. </w:t>
      </w:r>
      <w:r>
        <w:rPr>
          <w:rFonts w:hint="eastAsia"/>
          <w:b/>
          <w:bCs/>
        </w:rPr>
        <w:t>重点设计范围一</w:t>
      </w:r>
    </w:p>
    <w:p w14:paraId="6CCEFA65" w14:textId="77777777" w:rsidR="008F74B1" w:rsidRDefault="008F74B1" w:rsidP="008F74B1">
      <w:pPr>
        <w:widowControl w:val="0"/>
        <w:spacing w:line="360" w:lineRule="auto"/>
        <w:jc w:val="both"/>
      </w:pPr>
      <w:r>
        <w:rPr>
          <w:noProof/>
        </w:rPr>
        <w:drawing>
          <wp:inline distT="0" distB="0" distL="114300" distR="114300" wp14:anchorId="2866BDA5" wp14:editId="088619DE">
            <wp:extent cx="5272405" cy="3145790"/>
            <wp:effectExtent l="0" t="0" r="1079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2405" cy="3145790"/>
                    </a:xfrm>
                    <a:prstGeom prst="rect">
                      <a:avLst/>
                    </a:prstGeom>
                    <a:noFill/>
                    <a:ln>
                      <a:noFill/>
                    </a:ln>
                  </pic:spPr>
                </pic:pic>
              </a:graphicData>
            </a:graphic>
          </wp:inline>
        </w:drawing>
      </w:r>
    </w:p>
    <w:p w14:paraId="5B68F93D" w14:textId="77777777" w:rsidR="008F74B1" w:rsidRDefault="008F74B1" w:rsidP="008F74B1">
      <w:pPr>
        <w:widowControl w:val="0"/>
        <w:spacing w:line="360" w:lineRule="auto"/>
        <w:jc w:val="center"/>
        <w:rPr>
          <w:rFonts w:eastAsiaTheme="minorEastAsia"/>
          <w:b/>
          <w:bCs/>
        </w:rPr>
      </w:pPr>
      <w:r>
        <w:rPr>
          <w:rFonts w:hint="eastAsia"/>
          <w:b/>
          <w:bCs/>
        </w:rPr>
        <w:lastRenderedPageBreak/>
        <w:t>图</w:t>
      </w:r>
      <w:r>
        <w:rPr>
          <w:rFonts w:hint="eastAsia"/>
          <w:b/>
          <w:bCs/>
        </w:rPr>
        <w:t xml:space="preserve">3. </w:t>
      </w:r>
      <w:r>
        <w:rPr>
          <w:rFonts w:hint="eastAsia"/>
          <w:b/>
          <w:bCs/>
        </w:rPr>
        <w:t>重点设计范围二</w:t>
      </w:r>
    </w:p>
    <w:p w14:paraId="652E7F6F" w14:textId="77777777" w:rsidR="008F74B1" w:rsidRDefault="008F74B1" w:rsidP="008F74B1">
      <w:pPr>
        <w:widowControl w:val="0"/>
        <w:spacing w:line="360" w:lineRule="auto"/>
        <w:jc w:val="both"/>
      </w:pPr>
    </w:p>
    <w:p w14:paraId="43DBC334" w14:textId="77777777" w:rsidR="008F74B1" w:rsidRDefault="008F74B1" w:rsidP="008F74B1">
      <w:pPr>
        <w:widowControl w:val="0"/>
        <w:spacing w:line="360" w:lineRule="auto"/>
        <w:jc w:val="both"/>
      </w:pPr>
      <w:r>
        <w:rPr>
          <w:noProof/>
        </w:rPr>
        <w:drawing>
          <wp:inline distT="0" distB="0" distL="114300" distR="114300" wp14:anchorId="1B9B1299" wp14:editId="27252CDC">
            <wp:extent cx="5269865" cy="3130550"/>
            <wp:effectExtent l="0" t="0" r="635"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269865" cy="3130550"/>
                    </a:xfrm>
                    <a:prstGeom prst="rect">
                      <a:avLst/>
                    </a:prstGeom>
                    <a:noFill/>
                    <a:ln>
                      <a:noFill/>
                    </a:ln>
                  </pic:spPr>
                </pic:pic>
              </a:graphicData>
            </a:graphic>
          </wp:inline>
        </w:drawing>
      </w:r>
    </w:p>
    <w:p w14:paraId="60DC81B9" w14:textId="77777777" w:rsidR="008F74B1" w:rsidRDefault="008F74B1" w:rsidP="008F74B1">
      <w:pPr>
        <w:widowControl w:val="0"/>
        <w:spacing w:line="360" w:lineRule="auto"/>
        <w:jc w:val="center"/>
      </w:pPr>
      <w:r>
        <w:rPr>
          <w:rFonts w:hint="eastAsia"/>
          <w:b/>
          <w:bCs/>
        </w:rPr>
        <w:t>图</w:t>
      </w:r>
      <w:r>
        <w:rPr>
          <w:rFonts w:hint="eastAsia"/>
          <w:b/>
          <w:bCs/>
        </w:rPr>
        <w:t xml:space="preserve">4. </w:t>
      </w:r>
      <w:r>
        <w:rPr>
          <w:rFonts w:hint="eastAsia"/>
          <w:b/>
          <w:bCs/>
        </w:rPr>
        <w:t>重点设计范围三</w:t>
      </w:r>
    </w:p>
    <w:p w14:paraId="42391A6D" w14:textId="77777777" w:rsidR="00727527" w:rsidRDefault="00727527"/>
    <w:sectPr w:rsidR="00727527" w:rsidSect="008F74B1">
      <w:pgSz w:w="11906" w:h="16838"/>
      <w:pgMar w:top="1440" w:right="1797" w:bottom="680" w:left="1797" w:header="851" w:footer="992" w:gutter="0"/>
      <w:pgNumType w:fmt="numberInDash"/>
      <w:cols w:space="425"/>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EE1E1F4"/>
    <w:multiLevelType w:val="singleLevel"/>
    <w:tmpl w:val="8EE1E1F4"/>
    <w:lvl w:ilvl="0">
      <w:start w:val="1"/>
      <w:numFmt w:val="decimal"/>
      <w:suff w:val="nothing"/>
      <w:lvlText w:val="%1、"/>
      <w:lvlJc w:val="left"/>
    </w:lvl>
  </w:abstractNum>
  <w:abstractNum w:abstractNumId="1" w15:restartNumberingAfterBreak="0">
    <w:nsid w:val="0A157FF2"/>
    <w:multiLevelType w:val="multilevel"/>
    <w:tmpl w:val="0A157FF2"/>
    <w:lvl w:ilvl="0">
      <w:start w:val="1"/>
      <w:numFmt w:val="japaneseCounting"/>
      <w:pStyle w:val="2"/>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54563638">
    <w:abstractNumId w:val="1"/>
  </w:num>
  <w:num w:numId="2" w16cid:durableId="774059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4B1"/>
    <w:rsid w:val="00727527"/>
    <w:rsid w:val="00802A6B"/>
    <w:rsid w:val="008F74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05191"/>
  <w15:chartTrackingRefBased/>
  <w15:docId w15:val="{EF0103DE-70D0-4C0E-BBFC-805B0C28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8F74B1"/>
    <w:rPr>
      <w:rFonts w:ascii="Times New Roman" w:eastAsia="宋体" w:hAnsi="Times New Roman" w:cs="Times New Roman"/>
      <w:kern w:val="0"/>
      <w:sz w:val="24"/>
      <w:szCs w:val="24"/>
    </w:rPr>
  </w:style>
  <w:style w:type="paragraph" w:styleId="2">
    <w:name w:val="heading 2"/>
    <w:basedOn w:val="a0"/>
    <w:next w:val="a"/>
    <w:link w:val="20"/>
    <w:uiPriority w:val="9"/>
    <w:unhideWhenUsed/>
    <w:qFormat/>
    <w:rsid w:val="008F74B1"/>
    <w:pPr>
      <w:numPr>
        <w:numId w:val="1"/>
      </w:numPr>
      <w:adjustRightInd w:val="0"/>
      <w:snapToGrid w:val="0"/>
      <w:spacing w:line="360" w:lineRule="auto"/>
      <w:ind w:firstLineChars="0" w:firstLine="0"/>
      <w:jc w:val="both"/>
      <w:outlineLvl w:val="1"/>
    </w:pPr>
    <w:rPr>
      <w:rFonts w:ascii="黑体" w:eastAsia="黑体" w:hAnsi="仿宋"/>
      <w:sz w:val="32"/>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标题 2 字符"/>
    <w:basedOn w:val="a1"/>
    <w:link w:val="2"/>
    <w:uiPriority w:val="9"/>
    <w:qFormat/>
    <w:rsid w:val="008F74B1"/>
    <w:rPr>
      <w:rFonts w:ascii="黑体" w:eastAsia="黑体" w:hAnsi="仿宋" w:cs="Times New Roman"/>
      <w:kern w:val="0"/>
      <w:sz w:val="32"/>
      <w:szCs w:val="30"/>
    </w:rPr>
  </w:style>
  <w:style w:type="paragraph" w:styleId="a0">
    <w:name w:val="List Paragraph"/>
    <w:basedOn w:val="a"/>
    <w:uiPriority w:val="34"/>
    <w:qFormat/>
    <w:rsid w:val="008F74B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262</Words>
  <Characters>1494</Characters>
  <Application>Microsoft Office Word</Application>
  <DocSecurity>0</DocSecurity>
  <Lines>12</Lines>
  <Paragraphs>3</Paragraphs>
  <ScaleCrop>false</ScaleCrop>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sunlina</dc:creator>
  <cp:keywords/>
  <dc:description/>
  <cp:lastModifiedBy>sunlina</cp:lastModifiedBy>
  <cp:revision>1</cp:revision>
  <dcterms:created xsi:type="dcterms:W3CDTF">2024-05-15T08:50:00Z</dcterms:created>
  <dcterms:modified xsi:type="dcterms:W3CDTF">2024-05-15T08:50:00Z</dcterms:modified>
</cp:coreProperties>
</file>